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43" w:rsidRPr="00D03B43" w:rsidRDefault="00D03B43" w:rsidP="00330301">
      <w:pPr>
        <w:widowControl/>
        <w:spacing w:before="100" w:beforeAutospacing="1" w:after="100" w:afterAutospacing="1" w:line="600" w:lineRule="exact"/>
        <w:jc w:val="center"/>
        <w:rPr>
          <w:rFonts w:ascii="Times New Roman" w:eastAsia="宋体" w:hAnsi="Times New Roman" w:cs="Times New Roman"/>
          <w:color w:val="000000"/>
          <w:kern w:val="0"/>
          <w:szCs w:val="21"/>
        </w:rPr>
      </w:pPr>
      <w:r w:rsidRPr="00D03B43">
        <w:rPr>
          <w:rFonts w:ascii="方正小标宋简体" w:eastAsia="方正小标宋简体" w:hAnsi="Times New Roman" w:cs="Times New Roman" w:hint="eastAsia"/>
          <w:color w:val="000000"/>
          <w:kern w:val="0"/>
          <w:sz w:val="44"/>
          <w:szCs w:val="44"/>
        </w:rPr>
        <w:t>高等学校哲学社会科学繁荣计划</w:t>
      </w:r>
    </w:p>
    <w:p w:rsidR="00D03B43" w:rsidRPr="00D03B43" w:rsidRDefault="00D03B43" w:rsidP="00330301">
      <w:pPr>
        <w:widowControl/>
        <w:spacing w:before="100" w:beforeAutospacing="1" w:after="100" w:afterAutospacing="1" w:line="600" w:lineRule="exact"/>
        <w:jc w:val="center"/>
        <w:rPr>
          <w:rFonts w:ascii="Times New Roman" w:eastAsia="宋体" w:hAnsi="Times New Roman" w:cs="Times New Roman"/>
          <w:color w:val="000000"/>
          <w:kern w:val="0"/>
          <w:szCs w:val="21"/>
        </w:rPr>
      </w:pPr>
      <w:r w:rsidRPr="00D03B43">
        <w:rPr>
          <w:rFonts w:ascii="方正小标宋简体" w:eastAsia="方正小标宋简体" w:hAnsi="Times New Roman" w:cs="Times New Roman" w:hint="eastAsia"/>
          <w:color w:val="000000"/>
          <w:kern w:val="0"/>
          <w:sz w:val="44"/>
          <w:szCs w:val="44"/>
        </w:rPr>
        <w:t>专项资金管理办法</w:t>
      </w:r>
    </w:p>
    <w:p w:rsidR="00D03B43" w:rsidRPr="00D03B43" w:rsidRDefault="00D03B43" w:rsidP="00330301">
      <w:pPr>
        <w:widowControl/>
        <w:spacing w:before="100" w:beforeAutospacing="1" w:after="100" w:afterAutospacing="1" w:line="600" w:lineRule="exact"/>
        <w:jc w:val="center"/>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 </w:t>
      </w:r>
      <w:bookmarkStart w:id="0" w:name="_GoBack"/>
      <w:bookmarkEnd w:id="0"/>
    </w:p>
    <w:p w:rsidR="00D03B43" w:rsidRPr="00D03B43" w:rsidRDefault="00D03B43" w:rsidP="00330301">
      <w:pPr>
        <w:widowControl/>
        <w:spacing w:before="315" w:after="315" w:line="600" w:lineRule="exact"/>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第一章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总</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则</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第一条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w:t>
      </w:r>
      <w:r w:rsidRPr="00D03B43">
        <w:rPr>
          <w:rFonts w:ascii="仿宋_GB2312" w:eastAsia="仿宋_GB2312" w:hAnsi="Times New Roman" w:cs="Times New Roman" w:hint="eastAsia"/>
          <w:color w:val="000000"/>
          <w:kern w:val="0"/>
          <w:sz w:val="32"/>
          <w:szCs w:val="32"/>
        </w:rPr>
        <w:t> </w:t>
      </w:r>
      <w:r w:rsidRPr="00D03B43">
        <w:rPr>
          <w:rFonts w:ascii="仿宋_GB2312" w:eastAsia="仿宋_GB2312" w:hAnsi="Times New Roman" w:cs="Times New Roman" w:hint="eastAsia"/>
          <w:color w:val="000000"/>
          <w:kern w:val="0"/>
          <w:sz w:val="32"/>
          <w:szCs w:val="32"/>
        </w:rPr>
        <w:t>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繁荣计划专项资金由中央财政安排，是用于支持高校思政课建设和哲学社会科学研究、学科发展、人才培养、队伍建设的专项资金。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繁荣计划专项资金管理，以促进高校哲学社会科学高质量发展为目标，以推动高校加快构建中国特色哲学社</w:t>
      </w:r>
      <w:r w:rsidRPr="00D03B43">
        <w:rPr>
          <w:rFonts w:ascii="仿宋_GB2312" w:eastAsia="仿宋_GB2312" w:hAnsi="Times New Roman" w:cs="Times New Roman" w:hint="eastAsia"/>
          <w:color w:val="000000"/>
          <w:kern w:val="0"/>
          <w:sz w:val="32"/>
          <w:szCs w:val="32"/>
        </w:rPr>
        <w:lastRenderedPageBreak/>
        <w:t>会科学学科体系、学术体系、话语体系为重点，坚持以人为本、遵循规律、突出绩效、规范安全的原则。</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第五条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教育部负责编制繁荣计划专项资金年度预算、具体组织实施和管理监督工作，健全绩效考评机制。</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第六条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项目承担高校是繁荣计划专项资金管理的责任主体，建立健全专项资金管理制度，完善内部控制、绩效管理和监督约束机制，合理确定科研、财务、人事、资产、审计、监察等部门的责任和权限。</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第七条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项目负责人是繁荣计划专项资金使用的直接责任人，对资金使用的合法合规性、合理性、真实性和相关性负责。</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第八条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繁荣计划专项资金分为研究项目资金、非研究项目资金和管理资金。</w:t>
      </w:r>
    </w:p>
    <w:p w:rsidR="00D03B43" w:rsidRPr="00D03B43" w:rsidRDefault="00D03B43" w:rsidP="00330301">
      <w:pPr>
        <w:widowControl/>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研究项目资金</w:t>
      </w:r>
    </w:p>
    <w:p w:rsidR="00D03B43" w:rsidRPr="00D03B43" w:rsidRDefault="00D03B43" w:rsidP="00330301">
      <w:pPr>
        <w:widowControl/>
        <w:spacing w:before="100" w:beforeAutospacing="1" w:after="100" w:afterAutospacing="1" w:line="600" w:lineRule="exact"/>
        <w:ind w:firstLine="645"/>
        <w:rPr>
          <w:rFonts w:ascii="宋体" w:eastAsia="宋体" w:hAnsi="宋体" w:cs="宋体"/>
          <w:color w:val="000000"/>
          <w:kern w:val="0"/>
          <w:sz w:val="27"/>
          <w:szCs w:val="27"/>
        </w:rPr>
      </w:pPr>
      <w:r w:rsidRPr="00D03B43">
        <w:rPr>
          <w:rFonts w:ascii="黑体" w:eastAsia="黑体" w:hAnsi="黑体" w:cs="宋体" w:hint="eastAsia"/>
          <w:color w:val="000000"/>
          <w:kern w:val="0"/>
          <w:sz w:val="32"/>
          <w:szCs w:val="32"/>
        </w:rPr>
        <w:lastRenderedPageBreak/>
        <w:t>第九条</w:t>
      </w:r>
      <w:r w:rsidRPr="00D03B43">
        <w:rPr>
          <w:rFonts w:ascii="仿宋_GB2312" w:eastAsia="仿宋_GB2312" w:hAnsi="宋体" w:cs="宋体" w:hint="eastAsia"/>
          <w:color w:val="000000"/>
          <w:kern w:val="0"/>
          <w:sz w:val="32"/>
          <w:szCs w:val="32"/>
        </w:rPr>
        <w:t> </w:t>
      </w:r>
      <w:r w:rsidRPr="00D03B43">
        <w:rPr>
          <w:rFonts w:ascii="仿宋_GB2312" w:eastAsia="仿宋_GB2312" w:hAnsi="宋体" w:cs="宋体" w:hint="eastAsia"/>
          <w:color w:val="000000"/>
          <w:kern w:val="0"/>
          <w:sz w:val="32"/>
          <w:szCs w:val="32"/>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rsidR="00D03B43" w:rsidRPr="00D03B43" w:rsidRDefault="00D03B43" w:rsidP="00330301">
      <w:pPr>
        <w:widowControl/>
        <w:spacing w:before="100" w:beforeAutospacing="1" w:after="100" w:afterAutospacing="1" w:line="600" w:lineRule="exact"/>
        <w:ind w:firstLine="645"/>
        <w:rPr>
          <w:rFonts w:ascii="宋体" w:eastAsia="宋体" w:hAnsi="宋体" w:cs="宋体" w:hint="eastAsia"/>
          <w:color w:val="000000"/>
          <w:kern w:val="0"/>
          <w:sz w:val="27"/>
          <w:szCs w:val="27"/>
        </w:rPr>
      </w:pPr>
      <w:r w:rsidRPr="00D03B43">
        <w:rPr>
          <w:rFonts w:ascii="仿宋_GB2312" w:eastAsia="仿宋_GB2312" w:hAnsi="宋体" w:cs="宋体" w:hint="eastAsia"/>
          <w:color w:val="000000"/>
          <w:kern w:val="0"/>
          <w:sz w:val="32"/>
          <w:szCs w:val="32"/>
        </w:rPr>
        <w:t>本办法所称的研究项目，包括教育部哲学社会科学研究项目，以及专项资金支持的研究基地、实验室、平台、智库等设立的研究项目。</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hint="eastAsia"/>
          <w:color w:val="000000"/>
          <w:kern w:val="0"/>
          <w:szCs w:val="21"/>
        </w:rPr>
      </w:pPr>
      <w:r w:rsidRPr="00D03B43">
        <w:rPr>
          <w:rFonts w:ascii="黑体" w:eastAsia="黑体" w:hAnsi="黑体" w:cs="Times New Roman" w:hint="eastAsia"/>
          <w:color w:val="000000"/>
          <w:kern w:val="0"/>
          <w:sz w:val="32"/>
          <w:szCs w:val="32"/>
        </w:rPr>
        <w:t>第十条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直接费用是指在项目研究过程中发生的与之直接相关的费用，包括：</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（一）业务费：指在项目研究过程中购置图书、收集资料、复印翻拍、检索文献、采集数据、翻译资料、印刷出版、会议、差旅、国际合作与交流等费用，以及其他相关支出。</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（二）劳务费：指在项目实施过程中支付给参与研究的研究生、博士后、访问学者、聘用的研究人员、科研辅助人员等的劳务性费用，以及支付给临时聘请的咨询专家的费用等。</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聘用人员的劳务费开支标准，参照当地社科研究从业人员平均工资水平，根据其在研究中承担的工作任务确定，其</w:t>
      </w:r>
      <w:r w:rsidRPr="00D03B43">
        <w:rPr>
          <w:rFonts w:ascii="仿宋_GB2312" w:eastAsia="仿宋_GB2312" w:hAnsi="Times New Roman" w:cs="Times New Roman" w:hint="eastAsia"/>
          <w:color w:val="000000"/>
          <w:kern w:val="0"/>
          <w:sz w:val="32"/>
          <w:szCs w:val="32"/>
        </w:rPr>
        <w:lastRenderedPageBreak/>
        <w:t>由单位缴纳的社会保险补助、住房公积金等纳入劳务费科目列支。</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支付给临时聘请的咨询专家的费用，不得支付给参与本项目及所属课题研究和管理的相关人员，其管理按照国家有关规定执行。</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（三）设备费：指在项目研究过程中购置设备和设备耗材、升级维护现有设备及租用外单位设备而发生的费用。应当合理购置设备，鼓励共享、租赁及对现有设备进行升级改造。</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第十一条</w:t>
      </w:r>
      <w:r w:rsidRPr="00D03B43">
        <w:rPr>
          <w:rFonts w:ascii="仿宋_GB2312" w:eastAsia="仿宋_GB2312" w:hAnsi="Times New Roman" w:cs="Times New Roman" w:hint="eastAsia"/>
          <w:color w:val="000000"/>
          <w:kern w:val="0"/>
          <w:sz w:val="32"/>
          <w:szCs w:val="32"/>
        </w:rPr>
        <w:t> </w:t>
      </w:r>
      <w:r w:rsidRPr="00D03B43">
        <w:rPr>
          <w:rFonts w:ascii="仿宋_GB2312" w:eastAsia="仿宋_GB2312" w:hAnsi="Times New Roman" w:cs="Times New Roman" w:hint="eastAsia"/>
          <w:color w:val="000000"/>
          <w:kern w:val="0"/>
          <w:sz w:val="32"/>
          <w:szCs w:val="32"/>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第十二条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跨单位合作的科研活动，确需外拨资金的，应当在预算中单独列示，并对合作研究单位资质、承担的研究任务、外拨资金额度等进行说明。间接费用外拨金额，由项目承担高校和合作研究单位协商确定。</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第十三条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第十四条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间接费用按照不超过项目资助总额的一定比例核定，具体如下：50万元及以下部分为40%；超过50万元至500万元的部分为30%；超过500万元的部分为20%。</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对纯理论基础研究项目，间接费用比例50万元及以下部分可提高到不超过60%；超过50万元至500万元的部分可提高到不超过50%；超过500万元的部分可提高到不超过40%，具体范围由教育部商财政部确定。</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第十五条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教育部根据繁荣计划建设目标和建设内容，组织专家重点对预算申请的目标相关性、政策相符性、经济合理性进行评审。</w:t>
      </w:r>
    </w:p>
    <w:p w:rsidR="00D03B43" w:rsidRPr="00D03B43" w:rsidRDefault="00D03B43" w:rsidP="00330301">
      <w:pPr>
        <w:widowControl/>
        <w:spacing w:before="100" w:beforeAutospacing="1" w:after="100" w:afterAutospacing="1" w:line="600" w:lineRule="exact"/>
        <w:ind w:firstLine="630"/>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lastRenderedPageBreak/>
        <w:t>第十六条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项目负责人应当严格执行批准后的预算。预算有以下情况确需调剂的，由项目承担高校审批或备案。</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（一）原预算未列示外拨资金，需要增列的；外拨资金如需调剂的，由项目负责人根据科研活动的实际需要提出申请，报项目承担高校审批。</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（二）设备费预算如需调剂的，由项目负责人根据科研活动的实际需要提出申请，报项目承担高校审批。</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（三）业务费、劳务费预算如需调剂的，由项目负责人根据科研活动实际需要自主安排，并报项目承担高校备案。</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（四）</w:t>
      </w:r>
      <w:r w:rsidRPr="00D03B43">
        <w:rPr>
          <w:rFonts w:ascii="仿宋_GB2312" w:eastAsia="仿宋_GB2312" w:hAnsi="宋体" w:cs="Times New Roman" w:hint="eastAsia"/>
          <w:color w:val="000000"/>
          <w:kern w:val="0"/>
          <w:sz w:val="32"/>
          <w:szCs w:val="32"/>
        </w:rPr>
        <w:t>间接费用</w:t>
      </w:r>
      <w:r w:rsidRPr="00D03B43">
        <w:rPr>
          <w:rFonts w:ascii="仿宋_GB2312" w:eastAsia="仿宋_GB2312" w:hAnsi="Times New Roman" w:cs="Times New Roman" w:hint="eastAsia"/>
          <w:color w:val="000000"/>
          <w:kern w:val="0"/>
          <w:sz w:val="32"/>
          <w:szCs w:val="32"/>
        </w:rPr>
        <w:t>预算总额不得调增，项目负责人与项目承担高校协商一致后可调减用于直接费用。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项目承担高校应当根据科研活动的实际需求及时办理调剂手续。</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第十七条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包干制项目实施范围由教育部商财政部确定。</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第十八条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项目承担高校应当制定项目资金包干制管理规定。管理规定应当包括资金使用范围和标准、各方责任、违规惩戒措施等内容，报教育部备案。</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第十九条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包干制项目负责人应在承诺遵守科研伦理道德和学风诚信要求、经费全部用于与项目研究工作相关支出</w:t>
      </w:r>
      <w:r w:rsidRPr="00D03B43">
        <w:rPr>
          <w:rFonts w:ascii="仿宋_GB2312" w:eastAsia="仿宋_GB2312" w:hAnsi="Times New Roman" w:cs="Times New Roman" w:hint="eastAsia"/>
          <w:color w:val="000000"/>
          <w:kern w:val="0"/>
          <w:sz w:val="32"/>
          <w:szCs w:val="32"/>
        </w:rPr>
        <w:lastRenderedPageBreak/>
        <w:t>的基础上，本着科学、合理、规范、有效的原则使用资金，无需编制预算。</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包干制项目资金由项目负责人自主决定使用，对于本办法第十条、第十一条规定的开支范围内的资金由项目负责人自主决定使用，无需履行调剂程序。</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对于项目承担高校为研究提供的房屋占用，日常水、电、气、暖等消耗及开展有关管理工作的补助支出，由项目承担高校根据实际管理需要，在充分征求项目负责人意见基础上确定合理标准。</w:t>
      </w:r>
    </w:p>
    <w:p w:rsidR="00D03B43" w:rsidRPr="00D03B43" w:rsidRDefault="00D03B43" w:rsidP="00330301">
      <w:pPr>
        <w:widowControl/>
        <w:shd w:val="clear" w:color="auto" w:fill="FFFFFF"/>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对于激励科研人员的绩效支出，由项目负责人根据实际科研需要和相关薪酬标准自主确定，项目承担高校按照工资制度进行管理。</w:t>
      </w:r>
    </w:p>
    <w:p w:rsidR="00D03B43" w:rsidRPr="00D03B43" w:rsidRDefault="00D03B43" w:rsidP="00330301">
      <w:pPr>
        <w:widowControl/>
        <w:shd w:val="clear" w:color="auto" w:fill="FFFFFF"/>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非研究项目资金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第二十一条</w:t>
      </w:r>
      <w:r w:rsidRPr="00D03B43">
        <w:rPr>
          <w:rFonts w:ascii="仿宋_GB2312" w:eastAsia="仿宋_GB2312" w:hAnsi="Times New Roman" w:cs="Times New Roman" w:hint="eastAsia"/>
          <w:color w:val="000000"/>
          <w:kern w:val="0"/>
          <w:sz w:val="32"/>
          <w:szCs w:val="32"/>
        </w:rPr>
        <w:t> </w:t>
      </w:r>
      <w:r w:rsidRPr="00D03B43">
        <w:rPr>
          <w:rFonts w:ascii="仿宋_GB2312" w:eastAsia="仿宋_GB2312" w:hAnsi="Times New Roman" w:cs="Times New Roman" w:hint="eastAsia"/>
          <w:color w:val="000000"/>
          <w:kern w:val="0"/>
          <w:sz w:val="32"/>
          <w:szCs w:val="32"/>
        </w:rPr>
        <w:t>非研究项目资金支出是指支持研究基地、实验室、平台、智库、团队等建设费用。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非研究项目资金按照“稳定支持、长效机制，遵循规律、引导带动，绩效导向、动态调整”的原则进行资助和管理，具体开支范围如下：</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（一）人员聘用经费：是指支付给聘用的编制以外、不开支财政补助人员经费的专职研究人员、管理人员和国外访问学者的费用。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（二）能力建设经费：是指用于改善科研条件，推进全方位能力建设的经费，主要包括开展的国内学术交流、国情调研、信息采集、成果转化、联合研究等费用。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（四）奖励经费：是指根据研究人员实际贡献安排的奖励性费用，安排奖励性费用应加大对优秀人才和成果的奖励力度。</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开支奖励经费的情况包括：</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1.坚持服务国家目标与鼓励自由探索相结合，在思想理论上有重大创新、传承文明上有突出贡献、学科建设上有显著推动；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2.围绕国家重大战略，在解决经济社会发展重大问题上有重要贡献，为党和政府提供决策服务上有重要建树；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3.阐释中国立场、发出中国声音，产生较大国际影响；</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4.在方法创新上有重大突破；</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5.教育部认定在其他方面作出突出贡献的。</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第二十二条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对于非研究项目资金中国家已规定开支标准的科目，应当严格按照国家有关规定执行；对于国家未规定开支标准的科目，各类非研究项目应当建立健全经费开支标准和管理制度。</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第二十三条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非研究项目资金不得用于本办法第二十一条开支范围外的行政事业单位人员经费和公用经费。</w:t>
      </w:r>
    </w:p>
    <w:p w:rsidR="00D03B43" w:rsidRPr="00D03B43" w:rsidRDefault="00D03B43" w:rsidP="00330301">
      <w:pPr>
        <w:widowControl/>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管理资金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第二十四条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管理资金支出是指教育部在实施繁荣计划过程中发生的工作所需费用，包括组织、协调、评审、鉴定和奖励费用等。</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lastRenderedPageBreak/>
        <w:t>第二十五条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按规定对“教育部科学研究优秀成果奖（人文社会科学）”、有价值高水平的咨政成果进行奖励。</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第二十六条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管理资金在实施过程中，按照“管、办、评”分离原则，推进政府购买服务，规范向社会力量购买服务的程序和方式。</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b/>
          <w:bCs/>
          <w:color w:val="000000"/>
          <w:kern w:val="0"/>
          <w:sz w:val="32"/>
          <w:szCs w:val="32"/>
        </w:rPr>
        <w:t> </w:t>
      </w:r>
    </w:p>
    <w:p w:rsidR="00D03B43" w:rsidRPr="00D03B43" w:rsidRDefault="00D03B43" w:rsidP="00330301">
      <w:pPr>
        <w:widowControl/>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第五章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预算执行与决算</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第二十七条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教育部根据部门预算编制要求，将繁荣计划专项资金三年支出规划和年度预算建议数报送财政部，财政部按部门预算程序审核后批复年度预算。</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第二十八条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第二十九条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项目承担高校应当将资金纳入单位财务部门统一管理，单独核算，专款专用</w:t>
      </w:r>
      <w:r w:rsidRPr="00D03B43">
        <w:rPr>
          <w:rFonts w:ascii="仿宋_GB2312" w:eastAsia="仿宋_GB2312" w:hAnsi="Times New Roman" w:cs="Times New Roman" w:hint="eastAsia"/>
          <w:color w:val="333333"/>
          <w:kern w:val="0"/>
          <w:sz w:val="32"/>
          <w:szCs w:val="32"/>
          <w:shd w:val="clear" w:color="auto" w:fill="FFFFFF"/>
        </w:rPr>
        <w:t>。</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项目承担高校要根据项目负责人意见，及时将外拨资金拨付至项目合作单位，并加强对外拨资金的监督管理。</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项目负责人应当结合科研活动需要，科学合理安排资金支出进度。项目承担高校应当关注资金执行进度，有效提高资金使用效益。</w:t>
      </w:r>
    </w:p>
    <w:p w:rsidR="00D03B43" w:rsidRPr="00D03B43" w:rsidRDefault="00D03B43" w:rsidP="00330301">
      <w:pPr>
        <w:widowControl/>
        <w:spacing w:before="100" w:beforeAutospacing="1" w:after="100" w:afterAutospacing="1" w:line="600" w:lineRule="exact"/>
        <w:ind w:firstLine="645"/>
        <w:rPr>
          <w:rFonts w:ascii="宋体" w:eastAsia="宋体" w:hAnsi="宋体" w:cs="宋体"/>
          <w:color w:val="000000"/>
          <w:kern w:val="0"/>
          <w:sz w:val="27"/>
          <w:szCs w:val="27"/>
        </w:rPr>
      </w:pPr>
      <w:r w:rsidRPr="00D03B43">
        <w:rPr>
          <w:rFonts w:ascii="黑体" w:eastAsia="黑体" w:hAnsi="黑体" w:cs="宋体" w:hint="eastAsia"/>
          <w:color w:val="000000"/>
          <w:kern w:val="0"/>
          <w:sz w:val="32"/>
          <w:szCs w:val="32"/>
        </w:rPr>
        <w:t>第三十条</w:t>
      </w:r>
      <w:r w:rsidRPr="00D03B43">
        <w:rPr>
          <w:rFonts w:ascii="仿宋_GB2312" w:eastAsia="仿宋_GB2312" w:hAnsi="宋体" w:cs="宋体" w:hint="eastAsia"/>
          <w:color w:val="000000"/>
          <w:kern w:val="0"/>
          <w:sz w:val="32"/>
          <w:szCs w:val="32"/>
        </w:rPr>
        <w:t> </w:t>
      </w:r>
      <w:r w:rsidRPr="00D03B43">
        <w:rPr>
          <w:rFonts w:ascii="仿宋_GB2312" w:eastAsia="仿宋_GB2312" w:hAnsi="宋体" w:cs="宋体" w:hint="eastAsia"/>
          <w:color w:val="000000"/>
          <w:kern w:val="0"/>
          <w:sz w:val="32"/>
          <w:szCs w:val="32"/>
        </w:rPr>
        <w:t>繁荣计划专项资金按照国库集中支付制度规定拨付。</w:t>
      </w:r>
    </w:p>
    <w:p w:rsidR="00D03B43" w:rsidRPr="00D03B43" w:rsidRDefault="00D03B43" w:rsidP="00330301">
      <w:pPr>
        <w:widowControl/>
        <w:spacing w:before="100" w:beforeAutospacing="1" w:after="100" w:afterAutospacing="1" w:line="600" w:lineRule="exact"/>
        <w:ind w:firstLine="645"/>
        <w:rPr>
          <w:rFonts w:ascii="宋体" w:eastAsia="宋体" w:hAnsi="宋体" w:cs="宋体" w:hint="eastAsia"/>
          <w:color w:val="000000"/>
          <w:kern w:val="0"/>
          <w:sz w:val="27"/>
          <w:szCs w:val="27"/>
        </w:rPr>
      </w:pPr>
      <w:r w:rsidRPr="00D03B43">
        <w:rPr>
          <w:rFonts w:ascii="黑体" w:eastAsia="黑体" w:hAnsi="黑体" w:cs="宋体" w:hint="eastAsia"/>
          <w:color w:val="000000"/>
          <w:kern w:val="0"/>
          <w:sz w:val="32"/>
          <w:szCs w:val="32"/>
        </w:rPr>
        <w:t>第三十一条</w:t>
      </w:r>
      <w:r w:rsidRPr="00D03B43">
        <w:rPr>
          <w:rFonts w:ascii="仿宋_GB2312" w:eastAsia="仿宋_GB2312" w:hAnsi="宋体" w:cs="宋体" w:hint="eastAsia"/>
          <w:color w:val="000000"/>
          <w:kern w:val="0"/>
          <w:sz w:val="32"/>
          <w:szCs w:val="32"/>
        </w:rPr>
        <w:t> </w:t>
      </w:r>
      <w:r w:rsidRPr="00D03B43">
        <w:rPr>
          <w:rFonts w:ascii="仿宋_GB2312" w:eastAsia="仿宋_GB2312" w:hAnsi="宋体" w:cs="宋体" w:hint="eastAsia"/>
          <w:color w:val="000000"/>
          <w:kern w:val="0"/>
          <w:sz w:val="32"/>
          <w:szCs w:val="32"/>
        </w:rPr>
        <w:t>繁荣计划专项资金不得用于租赁办公场所和基础设施建设，不得用于开支各种罚款、捐赠、赞助、投资、偿还债务等，不得用于与项目工作无关的支出，严禁以任何方式牟取私利。</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hint="eastAsia"/>
          <w:color w:val="000000"/>
          <w:kern w:val="0"/>
          <w:szCs w:val="21"/>
        </w:rPr>
      </w:pPr>
      <w:r w:rsidRPr="00D03B43">
        <w:rPr>
          <w:rFonts w:ascii="黑体" w:eastAsia="黑体" w:hAnsi="黑体" w:cs="Times New Roman" w:hint="eastAsia"/>
          <w:color w:val="000000"/>
          <w:kern w:val="0"/>
          <w:sz w:val="32"/>
          <w:szCs w:val="32"/>
        </w:rPr>
        <w:t>第三十二条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专项资金支出属于政府采购范围的，应当按照政府采购有关规定执行。对科研急需的设备和耗材采取特事特办、随到随办的采购机制。</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第三十三条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研究过程中，项目承担高校因科研活动实际需要，邀请境内外专家、学者和有关人员参加由其主办的会议等，对确需负担的城市间交通费、国际旅费，可在会议费</w:t>
      </w:r>
      <w:r w:rsidRPr="00D03B43">
        <w:rPr>
          <w:rFonts w:ascii="仿宋_GB2312" w:eastAsia="仿宋_GB2312" w:hAnsi="Times New Roman" w:cs="Times New Roman" w:hint="eastAsia"/>
          <w:color w:val="000000"/>
          <w:kern w:val="0"/>
          <w:sz w:val="32"/>
          <w:szCs w:val="32"/>
        </w:rPr>
        <w:lastRenderedPageBreak/>
        <w:t>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第三十四条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凡使用繁荣计划专项资金形成的固定资产、无形资产等属于国有资产，应当按照国有资产管理的有关规定执行。</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第三十五条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项目承担高校要切实强化法人责任，严格按照国家有关规定和本办法规定，指导项目负责人科学合理编制预算，规范预算调剂程序，加强对外拨资金、间接费用、结转结余资金等的审核和管理。</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第三十六条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第三十七条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项目承担高校应当改进财务报销管理方式，充分利用信息化手段，推动项目经费数字化、无纸化报销，建立符合科研实际需要的内部报销机制。</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lastRenderedPageBreak/>
        <w:t>第三十八条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项目承担高校应将繁荣计划专项资金收支情况纳入单位年度决算统一编报。</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第三十九条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完成研究后，项目负责人应当按照学校财务规定清理账目与资产，据实编报决算，并附财务部门审核确认的资金收支明细账，与结项验收材料一并报送教育部。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有外拨资金的项目，外拨资金决算经合作研究单位财务、审计部门审核并签署意见后，由项目负责人汇总编制项目资金决算。</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对于非研究项目资金和管理资金，按照财政部关于结转结余资金管理有关规定执行。</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第四十一条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项目承担高校发生变更的，原承担高校应当及时向新承担高校转拨项目资金。</w:t>
      </w:r>
    </w:p>
    <w:p w:rsidR="00D03B43" w:rsidRPr="00D03B43" w:rsidRDefault="00D03B43" w:rsidP="00330301">
      <w:pPr>
        <w:widowControl/>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第六章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绩效管理与监督检查</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第四十二条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项目承担高校要切实加强绩效管理，引导科研资源向优秀人才和团队倾斜，提高科研经费使用效益。</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第四十三条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第四十四条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项目承担高校应当建立信息公开机制，在学校内部主动公开预算、预算调剂、决算、设备购置、外拨资金、劳务费发放、间接费用、结余资金使用等情况，自觉接受监督。</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lastRenderedPageBreak/>
        <w:t>第四十五条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项目承担高校要动态监管经费使用并实时预警提醒。对项目承担高校和科研人员在科研经费管理使用过程中出现的失信情况，纳入信用记录管理，对严重失信行为实行追责和惩戒。</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第四十六条</w:t>
      </w:r>
      <w:r w:rsidRPr="00D03B43">
        <w:rPr>
          <w:rFonts w:ascii="仿宋_GB2312" w:eastAsia="仿宋_GB2312" w:hAnsi="Times New Roman" w:cs="Times New Roman" w:hint="eastAsia"/>
          <w:color w:val="000000"/>
          <w:kern w:val="0"/>
          <w:sz w:val="32"/>
          <w:szCs w:val="32"/>
        </w:rPr>
        <w:t> </w:t>
      </w:r>
      <w:r w:rsidRPr="00D03B43">
        <w:rPr>
          <w:rFonts w:ascii="仿宋_GB2312" w:eastAsia="仿宋_GB2312" w:hAnsi="Times New Roman" w:cs="Times New Roman" w:hint="eastAsia"/>
          <w:color w:val="000000"/>
          <w:kern w:val="0"/>
          <w:sz w:val="32"/>
          <w:szCs w:val="32"/>
        </w:rPr>
        <w:t>项目承担高校和项目负责人应当依法依规管理使用专项资金，不得存在以下行为：</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（一）</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虚假编报项目预算；</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（二）</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未对繁荣计划专项资金进行单独核算；</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（三）</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列支与项目任务无关的支出；</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（四）</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违反规定转拨项目资金；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（五）</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通过虚假合同、虚假票据、虚构事项、虚报人员等弄虚作假方式，转移、套取、报销项目资金；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（六）</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截留、挤占、挪用项目资金；</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（七）</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设置账外账、随意调账变动支出、随意修改记账凭证、提供虚假财务会计资料等；</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（八）</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在使用项目资金中以任何方式列支应由个人负担的有关费用和利用项目资金支付各种罚款、捐款、赞助、投资、偿还债务等；</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lastRenderedPageBreak/>
        <w:t>（九）</w:t>
      </w:r>
      <w:r w:rsidRPr="00D03B43">
        <w:rPr>
          <w:rFonts w:ascii="Times New Roman" w:eastAsia="宋体" w:hAnsi="Times New Roman" w:cs="Times New Roman"/>
          <w:color w:val="000000"/>
          <w:kern w:val="0"/>
          <w:szCs w:val="21"/>
        </w:rPr>
        <w:t> </w:t>
      </w:r>
      <w:r w:rsidRPr="00D03B43">
        <w:rPr>
          <w:rFonts w:ascii="仿宋_GB2312" w:eastAsia="仿宋_GB2312" w:hAnsi="Times New Roman" w:cs="Times New Roman" w:hint="eastAsia"/>
          <w:color w:val="000000"/>
          <w:kern w:val="0"/>
          <w:sz w:val="32"/>
          <w:szCs w:val="32"/>
        </w:rPr>
        <w:t>其他违反国家财经纪律的行为。</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第四十七条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仿宋_GB2312" w:eastAsia="仿宋_GB2312" w:hAnsi="Times New Roman" w:cs="Times New Roman" w:hint="eastAsia"/>
          <w:color w:val="000000"/>
          <w:kern w:val="0"/>
          <w:sz w:val="32"/>
          <w:szCs w:val="32"/>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D03B43" w:rsidRPr="00D03B43" w:rsidRDefault="00D03B43" w:rsidP="00330301">
      <w:pPr>
        <w:widowControl/>
        <w:spacing w:before="315" w:after="315" w:line="600" w:lineRule="exact"/>
        <w:ind w:firstLine="645"/>
        <w:jc w:val="center"/>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第七章</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附</w:t>
      </w:r>
      <w:r w:rsidRPr="00D03B43">
        <w:rPr>
          <w:rFonts w:ascii="Calibri" w:eastAsia="黑体" w:hAnsi="Calibri" w:cs="Calibri"/>
          <w:color w:val="000000"/>
          <w:kern w:val="0"/>
          <w:sz w:val="32"/>
          <w:szCs w:val="32"/>
        </w:rPr>
        <w:t>  </w:t>
      </w:r>
      <w:r w:rsidRPr="00D03B43">
        <w:rPr>
          <w:rFonts w:ascii="黑体" w:eastAsia="黑体" w:hAnsi="黑体" w:cs="Times New Roman" w:hint="eastAsia"/>
          <w:color w:val="000000"/>
          <w:kern w:val="0"/>
          <w:sz w:val="32"/>
          <w:szCs w:val="32"/>
        </w:rPr>
        <w:t>则</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第四十八条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本办法由财政部、教育部负责解释。</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t>第四十九条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本办法自颁布之日起施行。2016年11月24日财政部、教育部印发的《高等学校哲学社会科学繁荣计划专项资金管理办法》（财教〔2016〕317号）同时废止。</w:t>
      </w:r>
    </w:p>
    <w:p w:rsidR="00D03B43" w:rsidRPr="00D03B43" w:rsidRDefault="00D03B43" w:rsidP="00330301">
      <w:pPr>
        <w:widowControl/>
        <w:spacing w:before="100" w:beforeAutospacing="1" w:after="100" w:afterAutospacing="1" w:line="600" w:lineRule="exact"/>
        <w:ind w:firstLine="645"/>
        <w:rPr>
          <w:rFonts w:ascii="Times New Roman" w:eastAsia="宋体" w:hAnsi="Times New Roman" w:cs="Times New Roman"/>
          <w:color w:val="000000"/>
          <w:kern w:val="0"/>
          <w:szCs w:val="21"/>
        </w:rPr>
      </w:pPr>
      <w:r w:rsidRPr="00D03B43">
        <w:rPr>
          <w:rFonts w:ascii="黑体" w:eastAsia="黑体" w:hAnsi="黑体" w:cs="Times New Roman" w:hint="eastAsia"/>
          <w:color w:val="000000"/>
          <w:kern w:val="0"/>
          <w:sz w:val="32"/>
          <w:szCs w:val="32"/>
        </w:rPr>
        <w:lastRenderedPageBreak/>
        <w:t>第五十条</w:t>
      </w:r>
      <w:r w:rsidRPr="00D03B43">
        <w:rPr>
          <w:rFonts w:ascii="Calibri" w:eastAsia="黑体" w:hAnsi="Calibri" w:cs="Calibri"/>
          <w:color w:val="000000"/>
          <w:kern w:val="0"/>
          <w:sz w:val="32"/>
          <w:szCs w:val="32"/>
        </w:rPr>
        <w:t> </w:t>
      </w:r>
      <w:r w:rsidRPr="00D03B43">
        <w:rPr>
          <w:rFonts w:ascii="仿宋_GB2312" w:eastAsia="仿宋_GB2312" w:hAnsi="Times New Roman" w:cs="Times New Roman" w:hint="eastAsia"/>
          <w:color w:val="000000"/>
          <w:kern w:val="0"/>
          <w:sz w:val="32"/>
          <w:szCs w:val="32"/>
        </w:rPr>
        <w:t>各项目承担高校要依据本办法修订完善内部相关管理办法。</w:t>
      </w:r>
    </w:p>
    <w:p w:rsidR="004120B4" w:rsidRPr="00D03B43" w:rsidRDefault="004120B4" w:rsidP="00330301">
      <w:pPr>
        <w:spacing w:line="600" w:lineRule="exact"/>
      </w:pPr>
    </w:p>
    <w:sectPr w:rsidR="004120B4" w:rsidRPr="00D03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5E" w:rsidRDefault="00E62A5E" w:rsidP="00D03B43">
      <w:r>
        <w:separator/>
      </w:r>
    </w:p>
  </w:endnote>
  <w:endnote w:type="continuationSeparator" w:id="0">
    <w:p w:rsidR="00E62A5E" w:rsidRDefault="00E62A5E" w:rsidP="00D0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5E" w:rsidRDefault="00E62A5E" w:rsidP="00D03B43">
      <w:r>
        <w:separator/>
      </w:r>
    </w:p>
  </w:footnote>
  <w:footnote w:type="continuationSeparator" w:id="0">
    <w:p w:rsidR="00E62A5E" w:rsidRDefault="00E62A5E" w:rsidP="00D03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2"/>
    <w:rsid w:val="000C014A"/>
    <w:rsid w:val="00330301"/>
    <w:rsid w:val="004120B4"/>
    <w:rsid w:val="00477312"/>
    <w:rsid w:val="009E6833"/>
    <w:rsid w:val="00AC3D42"/>
    <w:rsid w:val="00D03B43"/>
    <w:rsid w:val="00E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54D5"/>
  <w15:chartTrackingRefBased/>
  <w15:docId w15:val="{559EA4A5-B85B-471F-B939-8A9DB135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1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014A"/>
    <w:rPr>
      <w:b/>
      <w:bCs/>
    </w:rPr>
  </w:style>
  <w:style w:type="paragraph" w:styleId="a5">
    <w:name w:val="header"/>
    <w:basedOn w:val="a"/>
    <w:link w:val="a6"/>
    <w:uiPriority w:val="99"/>
    <w:unhideWhenUsed/>
    <w:rsid w:val="00D03B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03B43"/>
    <w:rPr>
      <w:sz w:val="18"/>
      <w:szCs w:val="18"/>
    </w:rPr>
  </w:style>
  <w:style w:type="paragraph" w:styleId="a7">
    <w:name w:val="footer"/>
    <w:basedOn w:val="a"/>
    <w:link w:val="a8"/>
    <w:uiPriority w:val="99"/>
    <w:unhideWhenUsed/>
    <w:rsid w:val="00D03B43"/>
    <w:pPr>
      <w:tabs>
        <w:tab w:val="center" w:pos="4153"/>
        <w:tab w:val="right" w:pos="8306"/>
      </w:tabs>
      <w:snapToGrid w:val="0"/>
      <w:jc w:val="left"/>
    </w:pPr>
    <w:rPr>
      <w:sz w:val="18"/>
      <w:szCs w:val="18"/>
    </w:rPr>
  </w:style>
  <w:style w:type="character" w:customStyle="1" w:styleId="a8">
    <w:name w:val="页脚 字符"/>
    <w:basedOn w:val="a0"/>
    <w:link w:val="a7"/>
    <w:uiPriority w:val="99"/>
    <w:rsid w:val="00D03B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62153">
      <w:bodyDiv w:val="1"/>
      <w:marLeft w:val="0"/>
      <w:marRight w:val="0"/>
      <w:marTop w:val="0"/>
      <w:marBottom w:val="0"/>
      <w:divBdr>
        <w:top w:val="none" w:sz="0" w:space="0" w:color="auto"/>
        <w:left w:val="none" w:sz="0" w:space="0" w:color="auto"/>
        <w:bottom w:val="none" w:sz="0" w:space="0" w:color="auto"/>
        <w:right w:val="none" w:sz="0" w:space="0" w:color="auto"/>
      </w:divBdr>
    </w:div>
    <w:div w:id="2025285942">
      <w:bodyDiv w:val="1"/>
      <w:marLeft w:val="0"/>
      <w:marRight w:val="0"/>
      <w:marTop w:val="0"/>
      <w:marBottom w:val="0"/>
      <w:divBdr>
        <w:top w:val="none" w:sz="0" w:space="0" w:color="auto"/>
        <w:left w:val="none" w:sz="0" w:space="0" w:color="auto"/>
        <w:bottom w:val="none" w:sz="0" w:space="0" w:color="auto"/>
        <w:right w:val="none" w:sz="0" w:space="0" w:color="auto"/>
      </w:divBdr>
      <w:divsChild>
        <w:div w:id="1415928742">
          <w:marLeft w:val="0"/>
          <w:marRight w:val="0"/>
          <w:marTop w:val="300"/>
          <w:marBottom w:val="0"/>
          <w:divBdr>
            <w:top w:val="none" w:sz="0" w:space="0" w:color="auto"/>
            <w:left w:val="none" w:sz="0" w:space="0" w:color="auto"/>
            <w:bottom w:val="none" w:sz="0" w:space="0" w:color="auto"/>
            <w:right w:val="none" w:sz="0" w:space="0" w:color="auto"/>
          </w:divBdr>
        </w:div>
        <w:div w:id="601183991">
          <w:marLeft w:val="0"/>
          <w:marRight w:val="0"/>
          <w:marTop w:val="450"/>
          <w:marBottom w:val="0"/>
          <w:divBdr>
            <w:top w:val="single" w:sz="6" w:space="6" w:color="CCCCCC"/>
            <w:left w:val="none" w:sz="0" w:space="0" w:color="auto"/>
            <w:bottom w:val="single" w:sz="6" w:space="6" w:color="CCCCCC"/>
            <w:right w:val="none" w:sz="0" w:space="0" w:color="auto"/>
          </w:divBdr>
        </w:div>
        <w:div w:id="165151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999</Words>
  <Characters>5695</Characters>
  <Application>Microsoft Office Word</Application>
  <DocSecurity>0</DocSecurity>
  <Lines>47</Lines>
  <Paragraphs>13</Paragraphs>
  <ScaleCrop>false</ScaleCrop>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张金龙</dc:creator>
  <cp:keywords/>
  <dc:description/>
  <cp:lastModifiedBy>张金龙</cp:lastModifiedBy>
  <cp:revision>7</cp:revision>
  <dcterms:created xsi:type="dcterms:W3CDTF">2023-03-24T01:30:00Z</dcterms:created>
  <dcterms:modified xsi:type="dcterms:W3CDTF">2023-04-04T01:56:00Z</dcterms:modified>
</cp:coreProperties>
</file>